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righ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2552065</wp:posOffset>
            </wp:positionH>
            <wp:positionV relativeFrom="page">
              <wp:posOffset>324485</wp:posOffset>
            </wp:positionV>
            <wp:extent cx="2456180" cy="772160"/>
            <wp:effectExtent l="0" t="0" r="0" b="0"/>
            <wp:wrapSquare wrapText="largest"/>
            <wp:docPr id="1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                 </w:t>
      </w:r>
      <w:bookmarkStart w:id="0" w:name="__DdeLink__52_603674189"/>
      <w:r>
        <w:rPr>
          <w:rFonts w:ascii="Verdana" w:hAnsi="Verdana"/>
          <w:color w:val="000000"/>
          <w:sz w:val="20"/>
          <w:szCs w:val="20"/>
        </w:rPr>
        <w:t>Comunicato stampa</w:t>
      </w:r>
    </w:p>
    <w:p>
      <w:pPr>
        <w:pStyle w:val="NormalWeb"/>
        <w:spacing w:beforeAutospacing="0" w:before="0" w:afterAutospacing="0" w:after="0"/>
        <w:jc w:val="right"/>
        <w:rPr/>
      </w:pPr>
      <w:r>
        <w:rPr/>
      </w:r>
    </w:p>
    <w:p>
      <w:pPr>
        <w:pStyle w:val="Standard"/>
        <w:spacing w:lineRule="exact" w:line="360" w:before="60" w:after="60"/>
        <w:jc w:val="center"/>
        <w:rPr>
          <w:rFonts w:ascii="Verdana" w:hAnsi="Verdana" w:cs="Rotis Semi Serif Std"/>
          <w:b/>
          <w:b/>
          <w:bCs/>
          <w:sz w:val="20"/>
          <w:szCs w:val="20"/>
        </w:rPr>
      </w:pPr>
      <w:r>
        <w:rPr>
          <w:rFonts w:cs="Rotis Semi Serif Std" w:ascii="Verdana" w:hAnsi="Verdana"/>
          <w:b/>
          <w:bCs/>
          <w:sz w:val="20"/>
          <w:szCs w:val="20"/>
        </w:rPr>
        <w:t xml:space="preserve">LUCENSE </w:t>
      </w:r>
      <w:r>
        <w:rPr>
          <w:rFonts w:cs="Rotis Semi Serif Std" w:ascii="Verdana" w:hAnsi="Verdana"/>
          <w:b/>
          <w:bCs/>
          <w:sz w:val="20"/>
          <w:szCs w:val="20"/>
        </w:rPr>
        <w:t>E IL CENTRO QUALIT</w:t>
      </w:r>
      <w:r>
        <w:rPr>
          <w:rFonts w:cs="Rotis Semi Serif Std" w:ascii="Verdana" w:hAnsi="Verdana"/>
          <w:b/>
          <w:bCs/>
          <w:color w:val="000000"/>
          <w:sz w:val="20"/>
          <w:szCs w:val="20"/>
        </w:rPr>
        <w:t>À CARTA PER I 25 ANNI DI MIAC</w:t>
      </w:r>
    </w:p>
    <w:p>
      <w:pPr>
        <w:pStyle w:val="Standard"/>
        <w:bidi w:val="0"/>
        <w:spacing w:lineRule="auto" w:line="240" w:before="0" w:after="0"/>
        <w:jc w:val="center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cs="Rotis Semi Serif Std" w:ascii="Verdana" w:hAnsi="Verdana"/>
          <w:bCs/>
          <w:i/>
          <w:iCs/>
          <w:color w:val="000000"/>
          <w:sz w:val="20"/>
          <w:szCs w:val="20"/>
        </w:rPr>
        <w:t>Lucca, 6 ottobre 2018 –</w:t>
      </w:r>
      <w:r>
        <w:rPr>
          <w:rFonts w:cs="Rotis Semi Serif Std" w:ascii="Verdana" w:hAnsi="Verdana"/>
          <w:bCs/>
          <w:color w:val="000000"/>
          <w:sz w:val="20"/>
          <w:szCs w:val="20"/>
        </w:rPr>
        <w:t xml:space="preserve"> </w:t>
      </w:r>
      <w:r>
        <w:rPr>
          <w:rFonts w:cs="Rotis Semi Serif Std" w:ascii="Verdana" w:hAnsi="Verdana"/>
          <w:bCs/>
          <w:color w:val="000000"/>
          <w:sz w:val="20"/>
          <w:szCs w:val="20"/>
        </w:rPr>
        <w:t xml:space="preserve">Esperienza e conoscenza per la qualità produttiva delle industrie cartarie: ecco </w:t>
      </w:r>
      <w:r>
        <w:rPr>
          <w:rFonts w:cs="Rotis Semi Serif Std" w:ascii="Verdana" w:hAnsi="Verdana"/>
          <w:b/>
          <w:bCs/>
          <w:color w:val="000000"/>
          <w:sz w:val="20"/>
          <w:szCs w:val="20"/>
        </w:rPr>
        <w:t>Lucense</w:t>
      </w:r>
      <w:r>
        <w:rPr>
          <w:rFonts w:cs="Rotis Semi Serif Std" w:ascii="Verdana" w:hAnsi="Verdana"/>
          <w:bCs/>
          <w:color w:val="000000"/>
          <w:sz w:val="20"/>
          <w:szCs w:val="20"/>
        </w:rPr>
        <w:t xml:space="preserve">, che anche quest’anno </w:t>
      </w:r>
      <w:r>
        <w:rPr>
          <w:rFonts w:cs="Rotis Semi Serif Std" w:ascii="Verdana" w:hAnsi="Verdana"/>
          <w:bCs/>
          <w:color w:val="000000"/>
          <w:sz w:val="20"/>
          <w:szCs w:val="20"/>
        </w:rPr>
        <w:t xml:space="preserve">partecipa al </w:t>
      </w:r>
      <w:r>
        <w:rPr>
          <w:rFonts w:cs="Rotis Semi Serif Std" w:ascii="Verdana" w:hAnsi="Verdana"/>
          <w:b/>
          <w:bCs/>
          <w:color w:val="000000"/>
          <w:sz w:val="20"/>
          <w:szCs w:val="20"/>
        </w:rPr>
        <w:t xml:space="preserve">Miac </w:t>
      </w:r>
      <w:r>
        <w:rPr>
          <w:rFonts w:cs="Rotis Semi Serif Std" w:ascii="Verdana" w:hAnsi="Verdana"/>
          <w:bCs/>
          <w:color w:val="000000"/>
          <w:sz w:val="20"/>
          <w:szCs w:val="20"/>
        </w:rPr>
        <w:t xml:space="preserve">(stand 124), </w:t>
      </w:r>
      <w:r>
        <w:rPr>
          <w:rFonts w:cs="Rotis Semi Serif Std" w:ascii="Verdana" w:hAnsi="Verdana"/>
          <w:bCs/>
          <w:color w:val="000000"/>
          <w:sz w:val="20"/>
          <w:szCs w:val="20"/>
        </w:rPr>
        <w:t>celebrando così</w:t>
      </w:r>
      <w:r>
        <w:rPr>
          <w:rFonts w:cs="Rotis Semi Serif Std" w:ascii="Verdana" w:hAnsi="Verdana"/>
          <w:bCs/>
          <w:color w:val="000000"/>
          <w:sz w:val="20"/>
          <w:szCs w:val="20"/>
        </w:rPr>
        <w:t xml:space="preserve"> i 25 anni </w:t>
      </w:r>
      <w:r>
        <w:rPr>
          <w:rFonts w:cs="Rotis Semi Serif Std" w:ascii="Verdana" w:hAnsi="Verdana"/>
          <w:bCs/>
          <w:color w:val="000000"/>
          <w:sz w:val="20"/>
          <w:szCs w:val="20"/>
        </w:rPr>
        <w:t xml:space="preserve">della manifestazione </w:t>
      </w:r>
      <w:r>
        <w:rPr>
          <w:rFonts w:cs="Rotis Semi Serif Std" w:ascii="Verdana" w:hAnsi="Verdana"/>
          <w:bCs/>
          <w:color w:val="000000"/>
          <w:sz w:val="20"/>
          <w:szCs w:val="20"/>
        </w:rPr>
        <w:t>in programma a Lucca dal 10 al 12 ottobre</w:t>
      </w:r>
      <w:r>
        <w:rPr>
          <w:rFonts w:cs="Rotis Semi Serif Std" w:ascii="Verdana" w:hAnsi="Verdana"/>
          <w:bCs/>
          <w:color w:val="000000"/>
          <w:sz w:val="20"/>
          <w:szCs w:val="20"/>
        </w:rPr>
        <w:t xml:space="preserve">. Un'occasione per presentare in un contesto internazionale le proprie competenze, le aree di intervento e i servizi qualificati offerti a supporto dei processi di innovazione e di crescita delle imprese. </w:t>
      </w:r>
      <w:r>
        <w:rPr>
          <w:rFonts w:cs="Rotis Semi Serif Std" w:ascii="Verdana" w:hAnsi="Verdana"/>
          <w:bCs/>
          <w:color w:val="000000"/>
          <w:sz w:val="20"/>
          <w:szCs w:val="20"/>
        </w:rPr>
        <w:t>E partecipa</w:t>
      </w:r>
      <w:r>
        <w:rPr>
          <w:rFonts w:cs="Rotis Semi Serif Std" w:ascii="Verdana" w:hAnsi="Verdana"/>
          <w:bCs/>
          <w:color w:val="000000"/>
          <w:sz w:val="20"/>
          <w:szCs w:val="20"/>
        </w:rPr>
        <w:t xml:space="preserve"> con quello che può essere definito un fiore all’occhiello del territorio, il </w:t>
      </w:r>
      <w:r>
        <w:rPr>
          <w:rFonts w:cs="Rotis Semi Serif Std" w:ascii="Verdana" w:hAnsi="Verdana"/>
          <w:b/>
          <w:bCs/>
          <w:color w:val="000000"/>
          <w:sz w:val="20"/>
          <w:szCs w:val="20"/>
        </w:rPr>
        <w:t>Centro qualità carta</w:t>
      </w:r>
      <w:r>
        <w:rPr>
          <w:rFonts w:cs="Rotis Semi Serif Std" w:ascii="Verdana" w:hAnsi="Verdana"/>
          <w:bCs/>
          <w:color w:val="000000"/>
          <w:sz w:val="20"/>
          <w:szCs w:val="20"/>
        </w:rPr>
        <w:t xml:space="preserve"> (Cqc): un servizio ulteriormente potenziato </w:t>
      </w:r>
      <w:r>
        <w:rPr>
          <w:rFonts w:cs="Rotis Semi Serif Std" w:ascii="Verdana" w:hAnsi="Verdana"/>
          <w:color w:val="000000"/>
          <w:sz w:val="20"/>
          <w:szCs w:val="20"/>
        </w:rPr>
        <w:t xml:space="preserve">grazie agli investimenti che hanno consentito di dotare il </w:t>
      </w:r>
      <w:r>
        <w:rPr>
          <w:rFonts w:cs="Rotis Semi Serif Std" w:ascii="Verdana" w:hAnsi="Verdana"/>
          <w:color w:val="000000"/>
          <w:sz w:val="20"/>
          <w:szCs w:val="20"/>
        </w:rPr>
        <w:t>l</w:t>
      </w:r>
      <w:r>
        <w:rPr>
          <w:rFonts w:cs="Rotis Semi Serif Std" w:ascii="Verdana" w:hAnsi="Verdana"/>
          <w:bCs/>
          <w:color w:val="000000"/>
          <w:sz w:val="20"/>
          <w:szCs w:val="20"/>
        </w:rPr>
        <w:t xml:space="preserve">aboratorio di nuovi strumenti di misura e apparecchiature di prova. </w:t>
      </w:r>
    </w:p>
    <w:p>
      <w:pPr>
        <w:pStyle w:val="Normal"/>
        <w:bidi w:val="0"/>
        <w:spacing w:lineRule="auto" w:line="240" w:before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cs="Rotis Semi Serif Std" w:ascii="Verdana" w:hAnsi="Verdana"/>
          <w:bCs/>
          <w:color w:val="000000"/>
          <w:sz w:val="20"/>
          <w:szCs w:val="20"/>
        </w:rPr>
        <w:t>R</w:t>
      </w:r>
      <w:r>
        <w:rPr>
          <w:rFonts w:cs="Rotis Semi Serif Std" w:ascii="Verdana" w:hAnsi="Verdana"/>
          <w:bCs/>
          <w:color w:val="000000"/>
          <w:sz w:val="20"/>
          <w:szCs w:val="20"/>
        </w:rPr>
        <w:t xml:space="preserve">ecentemente </w:t>
      </w:r>
      <w:r>
        <w:rPr>
          <w:rFonts w:cs="Rotis Semi Serif Std" w:ascii="Verdana" w:hAnsi="Verdana"/>
          <w:bCs/>
          <w:color w:val="000000"/>
          <w:sz w:val="20"/>
          <w:szCs w:val="20"/>
        </w:rPr>
        <w:t xml:space="preserve">sono state infatti </w:t>
      </w:r>
      <w:r>
        <w:rPr>
          <w:rFonts w:cs="Rotis Semi Serif Std" w:ascii="Verdana" w:hAnsi="Verdana"/>
          <w:bCs/>
          <w:color w:val="000000"/>
          <w:sz w:val="20"/>
          <w:szCs w:val="20"/>
        </w:rPr>
        <w:t>create due divisioni,</w:t>
      </w:r>
      <w:r>
        <w:rPr>
          <w:rFonts w:cs="Rotis Semi Serif Std" w:ascii="Verdana" w:hAnsi="Verdana"/>
          <w:bCs/>
          <w:color w:val="000000"/>
          <w:sz w:val="20"/>
          <w:szCs w:val="20"/>
        </w:rPr>
        <w:t xml:space="preserve"> </w:t>
      </w:r>
      <w:r>
        <w:rPr>
          <w:rFonts w:cs="Rotis Semi Serif Std" w:ascii="Verdana" w:hAnsi="Verdana"/>
          <w:b/>
          <w:bCs/>
          <w:color w:val="000000"/>
          <w:sz w:val="20"/>
          <w:szCs w:val="20"/>
        </w:rPr>
        <w:t>TissueLAB</w:t>
      </w:r>
      <w:r>
        <w:rPr>
          <w:rFonts w:cs="Rotis Semi Serif Std" w:ascii="Verdana" w:hAnsi="Verdana"/>
          <w:bCs/>
          <w:color w:val="000000"/>
          <w:sz w:val="20"/>
          <w:szCs w:val="20"/>
        </w:rPr>
        <w:t xml:space="preserve"> e </w:t>
      </w:r>
      <w:r>
        <w:rPr>
          <w:rFonts w:cs="Rotis Semi Serif Std" w:ascii="Verdana" w:hAnsi="Verdana"/>
          <w:b/>
          <w:bCs/>
          <w:color w:val="000000"/>
          <w:sz w:val="20"/>
          <w:szCs w:val="20"/>
        </w:rPr>
        <w:t xml:space="preserve">FiberLAB, </w:t>
      </w:r>
      <w:r>
        <w:rPr>
          <w:rFonts w:cs="Rotis Semi Serif Std" w:ascii="Verdana" w:hAnsi="Verdana"/>
          <w:b w:val="false"/>
          <w:bCs w:val="false"/>
          <w:color w:val="000000"/>
          <w:sz w:val="20"/>
          <w:szCs w:val="20"/>
        </w:rPr>
        <w:t xml:space="preserve">che </w:t>
      </w:r>
      <w:r>
        <w:rPr>
          <w:rFonts w:cs="Rotis Semi Serif Std" w:ascii="Verdana" w:hAnsi="Verdana"/>
          <w:b w:val="false"/>
          <w:bCs w:val="false"/>
          <w:color w:val="000000"/>
          <w:sz w:val="20"/>
          <w:szCs w:val="20"/>
        </w:rPr>
        <w:t>permettono</w:t>
      </w:r>
      <w:r>
        <w:rPr>
          <w:rFonts w:cs="Rotis Semi Serif Std" w:ascii="Verdana" w:hAnsi="Verdana"/>
          <w:b w:val="false"/>
          <w:bCs w:val="false"/>
          <w:color w:val="000000"/>
          <w:sz w:val="20"/>
          <w:szCs w:val="20"/>
        </w:rPr>
        <w:t xml:space="preserve"> al Cqc di affiancare le aziende meccaniche e del tissue per ottimizzare l’uso delle materie prime, migliorare le prestazioni dei prodotti, incrementarne la riciclabilità, soprattutto in un’ottica di </w:t>
      </w:r>
      <w:r>
        <w:rPr>
          <w:rFonts w:cs="Rotis Semi Serif Std" w:ascii="Verdana" w:hAnsi="Verdana"/>
          <w:b/>
          <w:bCs/>
          <w:color w:val="000000"/>
          <w:sz w:val="20"/>
          <w:szCs w:val="20"/>
        </w:rPr>
        <w:t>maggiore sostenibilità</w:t>
      </w:r>
      <w:r>
        <w:rPr>
          <w:rFonts w:cs="Rotis Semi Serif Std" w:ascii="Verdana" w:hAnsi="Verdana"/>
          <w:b w:val="false"/>
          <w:bCs w:val="false"/>
          <w:color w:val="000000"/>
          <w:sz w:val="20"/>
          <w:szCs w:val="20"/>
        </w:rPr>
        <w:t xml:space="preserve">. </w:t>
      </w:r>
      <w:r>
        <w:rPr>
          <w:rFonts w:cs="Rotis Semi Serif Std" w:ascii="Verdana" w:hAnsi="Verdana"/>
          <w:b w:val="false"/>
          <w:bCs w:val="false"/>
          <w:color w:val="000000"/>
          <w:sz w:val="20"/>
          <w:szCs w:val="20"/>
        </w:rPr>
        <w:t>Quest’ultimo, non a caso,</w:t>
      </w:r>
      <w:r>
        <w:rPr>
          <w:rFonts w:cs="Rotis Semi Serif Std" w:ascii="Verdana" w:hAnsi="Verdana"/>
          <w:b w:val="false"/>
          <w:bCs w:val="false"/>
          <w:color w:val="000000"/>
          <w:sz w:val="20"/>
          <w:szCs w:val="20"/>
        </w:rPr>
        <w:t xml:space="preserve"> </w:t>
      </w:r>
      <w:r>
        <w:rPr>
          <w:rFonts w:cs="Rotis Semi Serif Std" w:ascii="Verdana" w:hAnsi="Verdana"/>
          <w:b w:val="false"/>
          <w:bCs w:val="false"/>
          <w:color w:val="000000"/>
          <w:sz w:val="20"/>
          <w:szCs w:val="20"/>
        </w:rPr>
        <w:t xml:space="preserve">rappresenta </w:t>
      </w:r>
      <w:r>
        <w:rPr>
          <w:rFonts w:cs="Rotis Semi Serif Std" w:ascii="Verdana" w:hAnsi="Verdana"/>
          <w:b w:val="false"/>
          <w:bCs w:val="false"/>
          <w:color w:val="000000"/>
          <w:sz w:val="20"/>
          <w:szCs w:val="20"/>
        </w:rPr>
        <w:t xml:space="preserve">uno degli ambiti </w:t>
      </w:r>
      <w:r>
        <w:rPr>
          <w:rFonts w:cs="Rotis Semi Serif Std" w:ascii="Verdana" w:hAnsi="Verdana"/>
          <w:b w:val="false"/>
          <w:bCs w:val="false"/>
          <w:color w:val="000000"/>
          <w:sz w:val="20"/>
          <w:szCs w:val="20"/>
        </w:rPr>
        <w:t xml:space="preserve">in cui </w:t>
      </w:r>
      <w:r>
        <w:rPr>
          <w:rFonts w:cs="Rotis Semi Serif Std" w:ascii="Verdana" w:hAnsi="Verdana"/>
          <w:b w:val="false"/>
          <w:bCs w:val="false"/>
          <w:color w:val="000000"/>
          <w:sz w:val="20"/>
          <w:szCs w:val="20"/>
        </w:rPr>
        <w:t>Lucense</w:t>
      </w:r>
      <w:r>
        <w:rPr>
          <w:rFonts w:cs="Rotis Semi Serif Std" w:ascii="Verdana" w:hAnsi="Verdana"/>
          <w:b w:val="false"/>
          <w:bCs w:val="false"/>
          <w:color w:val="000000"/>
          <w:sz w:val="20"/>
          <w:szCs w:val="20"/>
        </w:rPr>
        <w:t xml:space="preserve"> </w:t>
      </w:r>
      <w:r>
        <w:rPr>
          <w:rFonts w:cs="Rotis Semi Serif Std" w:ascii="Verdana" w:hAnsi="Verdana"/>
          <w:b w:val="false"/>
          <w:bCs w:val="false"/>
          <w:color w:val="000000"/>
          <w:sz w:val="20"/>
          <w:szCs w:val="20"/>
        </w:rPr>
        <w:t xml:space="preserve">opera </w:t>
      </w:r>
      <w:r>
        <w:rPr>
          <w:rFonts w:cs="Rotis Semi Serif Std" w:ascii="Verdana" w:hAnsi="Verdana"/>
          <w:bCs/>
          <w:color w:val="000000"/>
          <w:sz w:val="20"/>
          <w:szCs w:val="20"/>
        </w:rPr>
        <w:t xml:space="preserve">principalmente: </w:t>
      </w:r>
      <w:r>
        <w:rPr>
          <w:rFonts w:cs="Rotis Semi Serif Std" w:ascii="Verdana" w:hAnsi="Verdana"/>
          <w:bCs/>
          <w:color w:val="000000"/>
          <w:sz w:val="20"/>
          <w:szCs w:val="20"/>
        </w:rPr>
        <w:t>un ambito che sta spingendo</w:t>
      </w:r>
      <w:r>
        <w:rPr>
          <w:rFonts w:cs="Rotis Semi Serif Std" w:ascii="Verdana" w:hAnsi="Verdana"/>
          <w:bCs/>
          <w:color w:val="000000"/>
          <w:sz w:val="20"/>
          <w:szCs w:val="20"/>
        </w:rPr>
        <w:t xml:space="preserve"> le aziende a produrre carte che a parità di prestazioni richiedono un minore utilizzo di materia prima e di energia. Una sfida che coinvolge l'intera filiera, dai costruttori di macchine ai produttori e trasformatori di carta, e richiede crescenti investimenti in ricerca, innovazione </w:t>
      </w:r>
      <w:r>
        <w:rPr>
          <w:rFonts w:cs="Rotis Semi Serif Std" w:ascii="Verdana" w:hAnsi="Verdana"/>
          <w:bCs/>
          <w:color w:val="000000"/>
          <w:sz w:val="20"/>
          <w:szCs w:val="20"/>
        </w:rPr>
        <w:t xml:space="preserve">e sviluppo: tre poli centrali nell’attività di Lucense, per i quali l’azienda riesce ad attrarre ogni anno sul territorio, grazie alla partecipazione e all’aggiudicazione di importanti bandi europei e nazionali, cospicui finanziamenti. </w:t>
      </w:r>
    </w:p>
    <w:p>
      <w:pPr>
        <w:pStyle w:val="Normal"/>
        <w:bidi w:val="0"/>
        <w:spacing w:lineRule="auto" w:line="240" w:before="0" w:after="0"/>
        <w:jc w:val="both"/>
        <w:rPr>
          <w:rFonts w:ascii="Verdana" w:hAnsi="Verdana"/>
          <w:color w:val="000000"/>
          <w:sz w:val="20"/>
        </w:rPr>
      </w:pPr>
      <w:r>
        <w:rPr>
          <w:rFonts w:cs="Rotis Semi Serif Std" w:ascii="Verdana" w:hAnsi="Verdana"/>
          <w:bCs/>
          <w:color w:val="000000"/>
          <w:sz w:val="20"/>
          <w:szCs w:val="20"/>
        </w:rPr>
        <w:t xml:space="preserve">Strettamente </w:t>
      </w:r>
      <w:r>
        <w:rPr>
          <w:rFonts w:cs="Rotis Semi Serif Std" w:ascii="Verdana" w:hAnsi="Verdana"/>
          <w:bCs/>
          <w:color w:val="000000"/>
          <w:sz w:val="20"/>
          <w:szCs w:val="20"/>
        </w:rPr>
        <w:t xml:space="preserve">collegato al tema della sostenibilità c’è </w:t>
      </w:r>
      <w:r>
        <w:rPr>
          <w:rFonts w:cs="Rotis Semi Serif Std" w:ascii="Verdana" w:hAnsi="Verdana"/>
          <w:bCs/>
          <w:color w:val="000000"/>
          <w:sz w:val="20"/>
          <w:szCs w:val="20"/>
        </w:rPr>
        <w:t xml:space="preserve">poi </w:t>
      </w:r>
      <w:r>
        <w:rPr>
          <w:rFonts w:cs="Rotis Semi Serif Std" w:ascii="Verdana" w:hAnsi="Verdana"/>
          <w:bCs/>
          <w:color w:val="000000"/>
          <w:sz w:val="20"/>
          <w:szCs w:val="20"/>
        </w:rPr>
        <w:t xml:space="preserve">quello della </w:t>
      </w:r>
      <w:r>
        <w:rPr>
          <w:rFonts w:cs="Rotis Semi Serif Std" w:ascii="Verdana" w:hAnsi="Verdana"/>
          <w:b/>
          <w:bCs/>
          <w:color w:val="000000"/>
          <w:sz w:val="20"/>
          <w:szCs w:val="20"/>
        </w:rPr>
        <w:t>riciclabilità</w:t>
      </w:r>
      <w:r>
        <w:rPr>
          <w:rFonts w:cs="Rotis Semi Serif Std" w:ascii="Verdana" w:hAnsi="Verdana"/>
          <w:bCs/>
          <w:color w:val="000000"/>
          <w:sz w:val="20"/>
          <w:szCs w:val="20"/>
        </w:rPr>
        <w:t xml:space="preserve"> e della promozione dell’</w:t>
      </w:r>
      <w:r>
        <w:rPr>
          <w:rFonts w:cs="Rotis Semi Serif Std" w:ascii="Verdana" w:hAnsi="Verdana"/>
          <w:b/>
          <w:bCs/>
          <w:color w:val="000000"/>
          <w:sz w:val="20"/>
          <w:szCs w:val="20"/>
        </w:rPr>
        <w:t>economia circolare</w:t>
      </w:r>
      <w:r>
        <w:rPr>
          <w:rFonts w:cs="Rotis Semi Serif Std" w:ascii="Verdana" w:hAnsi="Verdana"/>
          <w:bCs/>
          <w:color w:val="000000"/>
          <w:sz w:val="20"/>
          <w:szCs w:val="20"/>
        </w:rPr>
        <w:t xml:space="preserve"> quale modello di sviluppo possibile. Dal 2017 Lucense gestisce </w:t>
      </w:r>
      <w:r>
        <w:rPr>
          <w:rFonts w:cs="Rotis Semi Serif Std" w:ascii="Verdana" w:hAnsi="Verdana"/>
          <w:b/>
          <w:bCs/>
          <w:color w:val="000000"/>
          <w:sz w:val="20"/>
          <w:szCs w:val="20"/>
        </w:rPr>
        <w:t>Rilab</w:t>
      </w:r>
      <w:r>
        <w:rPr>
          <w:rFonts w:cs="Rotis Semi Serif Std" w:ascii="Verdana" w:hAnsi="Verdana"/>
          <w:bCs/>
          <w:color w:val="000000"/>
          <w:sz w:val="20"/>
          <w:szCs w:val="20"/>
        </w:rPr>
        <w:t xml:space="preserve"> (</w:t>
      </w:r>
      <w:r>
        <w:rPr>
          <w:rFonts w:eastAsia="Times New Roman" w:cs="Rotis Semi Serif Std" w:ascii="Verdana" w:hAnsi="Verdana"/>
          <w:bCs/>
          <w:color w:val="000000"/>
          <w:sz w:val="20"/>
          <w:szCs w:val="20"/>
        </w:rPr>
        <w:t>l</w:t>
      </w:r>
      <w:r>
        <w:rPr>
          <w:rFonts w:eastAsia="Times New Roman" w:cs="Rotis Semi Serif Std" w:ascii="Verdana" w:hAnsi="Verdana"/>
          <w:bCs/>
          <w:color w:val="000000"/>
          <w:sz w:val="20"/>
          <w:szCs w:val="20"/>
        </w:rPr>
        <w:t xml:space="preserve">aboratorio di </w:t>
      </w:r>
      <w:r>
        <w:rPr>
          <w:rFonts w:eastAsia="Times New Roman" w:cs="Rotis Semi Serif Std" w:ascii="Verdana" w:hAnsi="Verdana"/>
          <w:bCs/>
          <w:color w:val="000000"/>
          <w:sz w:val="20"/>
          <w:szCs w:val="20"/>
        </w:rPr>
        <w:t>r</w:t>
      </w:r>
      <w:r>
        <w:rPr>
          <w:rFonts w:eastAsia="Times New Roman" w:cs="Rotis Semi Serif Std" w:ascii="Verdana" w:hAnsi="Verdana"/>
          <w:bCs/>
          <w:color w:val="000000"/>
          <w:sz w:val="20"/>
          <w:szCs w:val="20"/>
        </w:rPr>
        <w:t xml:space="preserve">icerca </w:t>
      </w:r>
      <w:r>
        <w:rPr>
          <w:rFonts w:eastAsia="Times New Roman" w:cs="Rotis Semi Serif Std" w:ascii="Verdana" w:hAnsi="Verdana"/>
          <w:bCs/>
          <w:color w:val="000000"/>
          <w:sz w:val="20"/>
          <w:szCs w:val="20"/>
        </w:rPr>
        <w:t>a</w:t>
      </w:r>
      <w:r>
        <w:rPr>
          <w:rFonts w:eastAsia="Times New Roman" w:cs="Rotis Semi Serif Std" w:ascii="Verdana" w:hAnsi="Verdana"/>
          <w:bCs/>
          <w:color w:val="000000"/>
          <w:sz w:val="20"/>
          <w:szCs w:val="20"/>
        </w:rPr>
        <w:t xml:space="preserve">pplicata e </w:t>
      </w:r>
      <w:r>
        <w:rPr>
          <w:rFonts w:eastAsia="Times New Roman" w:cs="Rotis Semi Serif Std" w:ascii="Verdana" w:hAnsi="Verdana"/>
          <w:bCs/>
          <w:color w:val="000000"/>
          <w:sz w:val="20"/>
          <w:szCs w:val="20"/>
        </w:rPr>
        <w:t>s</w:t>
      </w:r>
      <w:r>
        <w:rPr>
          <w:rFonts w:eastAsia="Times New Roman" w:cs="Rotis Semi Serif Std" w:ascii="Verdana" w:hAnsi="Verdana"/>
          <w:bCs/>
          <w:color w:val="000000"/>
          <w:sz w:val="20"/>
          <w:szCs w:val="20"/>
        </w:rPr>
        <w:t>perimentazione sui materiali e l’</w:t>
      </w:r>
      <w:r>
        <w:rPr>
          <w:rFonts w:eastAsia="Times New Roman" w:cs="Rotis Semi Serif Std" w:ascii="Verdana" w:hAnsi="Verdana"/>
          <w:bCs/>
          <w:color w:val="000000"/>
          <w:sz w:val="20"/>
          <w:szCs w:val="20"/>
        </w:rPr>
        <w:t>e</w:t>
      </w:r>
      <w:r>
        <w:rPr>
          <w:rFonts w:eastAsia="Times New Roman" w:cs="Rotis Semi Serif Std" w:ascii="Verdana" w:hAnsi="Verdana"/>
          <w:bCs/>
          <w:color w:val="000000"/>
          <w:sz w:val="20"/>
          <w:szCs w:val="20"/>
        </w:rPr>
        <w:t xml:space="preserve">conomia </w:t>
      </w:r>
      <w:r>
        <w:rPr>
          <w:rFonts w:eastAsia="Times New Roman" w:cs="Rotis Semi Serif Std" w:ascii="Verdana" w:hAnsi="Verdana"/>
          <w:bCs/>
          <w:color w:val="000000"/>
          <w:sz w:val="20"/>
          <w:szCs w:val="20"/>
        </w:rPr>
        <w:t>c</w:t>
      </w:r>
      <w:r>
        <w:rPr>
          <w:rFonts w:eastAsia="Times New Roman" w:cs="Rotis Semi Serif Std" w:ascii="Verdana" w:hAnsi="Verdana"/>
          <w:bCs/>
          <w:color w:val="000000"/>
          <w:sz w:val="20"/>
          <w:szCs w:val="20"/>
        </w:rPr>
        <w:t>ircolare</w:t>
      </w:r>
      <w:r>
        <w:rPr>
          <w:rFonts w:eastAsia="Times New Roman" w:cs="Rotis Semi Serif Std" w:ascii="Verdana" w:hAnsi="Verdana"/>
          <w:bCs/>
          <w:color w:val="000000"/>
          <w:sz w:val="20"/>
          <w:szCs w:val="20"/>
        </w:rPr>
        <w:t>)</w:t>
      </w:r>
      <w:r>
        <w:rPr>
          <w:rFonts w:eastAsia="Times New Roman" w:cs="Rotis Semi Serif Std" w:ascii="Verdana" w:hAnsi="Verdana"/>
          <w:bCs/>
          <w:color w:val="000000"/>
          <w:sz w:val="20"/>
          <w:szCs w:val="20"/>
        </w:rPr>
        <w:t xml:space="preserve">, con sede </w:t>
      </w:r>
      <w:r>
        <w:rPr>
          <w:rFonts w:eastAsia="Times New Roman" w:cs="Rotis Semi Serif Std" w:ascii="Verdana" w:hAnsi="Verdana"/>
          <w:bCs/>
          <w:color w:val="000000"/>
          <w:sz w:val="20"/>
          <w:szCs w:val="20"/>
        </w:rPr>
        <w:t xml:space="preserve">al </w:t>
      </w:r>
      <w:r>
        <w:rPr>
          <w:rFonts w:eastAsia="Times New Roman" w:cs="Rotis Semi Serif Std" w:ascii="Verdana" w:hAnsi="Verdana"/>
          <w:bCs/>
          <w:color w:val="000000"/>
          <w:sz w:val="20"/>
          <w:szCs w:val="20"/>
        </w:rPr>
        <w:t xml:space="preserve">Parco </w:t>
      </w:r>
      <w:r>
        <w:rPr>
          <w:rFonts w:eastAsia="Times New Roman" w:cs="Rotis Semi Serif Std" w:ascii="Verdana" w:hAnsi="Verdana"/>
          <w:bCs/>
          <w:color w:val="000000"/>
          <w:sz w:val="20"/>
          <w:szCs w:val="20"/>
        </w:rPr>
        <w:t>s</w:t>
      </w:r>
      <w:r>
        <w:rPr>
          <w:rFonts w:eastAsia="Times New Roman" w:cs="Rotis Semi Serif Std" w:ascii="Verdana" w:hAnsi="Verdana"/>
          <w:bCs/>
          <w:color w:val="000000"/>
          <w:sz w:val="20"/>
          <w:szCs w:val="20"/>
        </w:rPr>
        <w:t>cientifico di Capannori</w:t>
      </w:r>
      <w:r>
        <w:rPr>
          <w:rFonts w:eastAsia="Times New Roman" w:cs="Rotis Semi Serif Std" w:ascii="Verdana" w:hAnsi="Verdana"/>
          <w:bCs/>
          <w:color w:val="000000"/>
          <w:sz w:val="20"/>
          <w:szCs w:val="20"/>
        </w:rPr>
        <w:t>,</w:t>
      </w:r>
      <w:r>
        <w:rPr>
          <w:rFonts w:eastAsia="Times New Roman" w:cs="Rotis Semi Serif Std" w:ascii="Verdana" w:hAnsi="Verdana"/>
          <w:bCs/>
          <w:color w:val="000000"/>
          <w:sz w:val="20"/>
          <w:szCs w:val="20"/>
        </w:rPr>
        <w:t xml:space="preserve"> in collaborazione con LMPE (spin-off del Consorzio </w:t>
      </w:r>
      <w:r>
        <w:rPr>
          <w:rFonts w:eastAsia="Times New Roman" w:cs="Rotis Semi Serif Std" w:ascii="Verdana" w:hAnsi="Verdana"/>
          <w:b w:val="false"/>
          <w:bCs/>
          <w:i w:val="false"/>
          <w:caps w:val="false"/>
          <w:smallCaps w:val="false"/>
          <w:color w:val="000000"/>
          <w:spacing w:val="0"/>
          <w:sz w:val="20"/>
          <w:szCs w:val="20"/>
        </w:rPr>
        <w:t>Interuniversitario Nazionale per la Scienza e Tecnologia dei Materiali</w:t>
      </w:r>
      <w:r>
        <w:rPr>
          <w:rFonts w:eastAsia="Times New Roman" w:cs="Rotis Semi Serif Std" w:ascii="Verdana" w:hAnsi="Verdana"/>
          <w:bCs/>
          <w:color w:val="000000"/>
          <w:sz w:val="20"/>
          <w:szCs w:val="20"/>
        </w:rPr>
        <w:t xml:space="preserve">) e la Scuola Normale Superiore di Pisa. L’attività di Rilab, </w:t>
      </w:r>
      <w:r>
        <w:rPr>
          <w:rFonts w:eastAsia="Times New Roman" w:cs="Rotis Semi Serif Std" w:ascii="Verdana" w:hAnsi="Verdana"/>
          <w:bCs/>
          <w:color w:val="000000"/>
          <w:sz w:val="20"/>
          <w:szCs w:val="20"/>
        </w:rPr>
        <w:t>legata a quella del</w:t>
      </w:r>
      <w:r>
        <w:rPr>
          <w:rFonts w:eastAsia="Times New Roman" w:cs="Rotis Semi Serif Std" w:ascii="Verdana" w:hAnsi="Verdana"/>
          <w:bCs/>
          <w:color w:val="000000"/>
          <w:sz w:val="20"/>
          <w:szCs w:val="20"/>
        </w:rPr>
        <w:t xml:space="preserve"> Centro Qualità Carta, è focalizzata sui materiali innovativi per imballaggi accoppiati sostenibili con caratteristiche di riciclabilità e biodegradabilità.</w:t>
      </w:r>
    </w:p>
    <w:p>
      <w:pPr>
        <w:pStyle w:val="Normal"/>
        <w:bidi w:val="0"/>
        <w:spacing w:lineRule="auto" w:line="240" w:before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cs="Rotis Semi Serif Std" w:ascii="Verdana" w:hAnsi="Verdana"/>
          <w:bCs/>
          <w:color w:val="000000"/>
          <w:sz w:val="20"/>
          <w:szCs w:val="20"/>
        </w:rPr>
        <w:t xml:space="preserve">Chiude il cerchio il capitolo della </w:t>
      </w:r>
      <w:r>
        <w:rPr>
          <w:rFonts w:cs="Rotis Semi Serif Std" w:ascii="Verdana" w:hAnsi="Verdana"/>
          <w:b/>
          <w:bCs/>
          <w:color w:val="000000"/>
          <w:sz w:val="20"/>
          <w:szCs w:val="20"/>
        </w:rPr>
        <w:t>certificazione</w:t>
      </w:r>
      <w:r>
        <w:rPr>
          <w:rFonts w:cs="Rotis Semi Serif Std" w:ascii="Verdana" w:hAnsi="Verdana"/>
          <w:bCs/>
          <w:color w:val="000000"/>
          <w:sz w:val="20"/>
          <w:szCs w:val="20"/>
        </w:rPr>
        <w:t>: s</w:t>
      </w:r>
      <w:r>
        <w:rPr>
          <w:rFonts w:cs="Rotis Semi Serif Std" w:ascii="Verdana" w:hAnsi="Verdana"/>
          <w:bCs/>
          <w:color w:val="000000"/>
          <w:sz w:val="20"/>
          <w:szCs w:val="20"/>
        </w:rPr>
        <w:t xml:space="preserve">empre in tema di sostenibilità, </w:t>
      </w:r>
      <w:r>
        <w:rPr>
          <w:rFonts w:cs="Rotis Semi Serif Std" w:ascii="Verdana" w:hAnsi="Verdana"/>
          <w:bCs/>
          <w:color w:val="000000"/>
          <w:sz w:val="20"/>
          <w:szCs w:val="20"/>
        </w:rPr>
        <w:t>infatti,</w:t>
      </w:r>
      <w:r>
        <w:rPr>
          <w:rFonts w:cs="Rotis Semi Serif Std" w:ascii="Verdana" w:hAnsi="Verdana"/>
          <w:bCs/>
          <w:color w:val="000000"/>
          <w:sz w:val="20"/>
          <w:szCs w:val="20"/>
        </w:rPr>
        <w:t xml:space="preserve"> il Centro </w:t>
      </w:r>
      <w:r>
        <w:rPr>
          <w:rFonts w:cs="Rotis Semi Serif Std" w:ascii="Verdana" w:hAnsi="Verdana"/>
          <w:bCs/>
          <w:color w:val="000000"/>
          <w:sz w:val="20"/>
          <w:szCs w:val="20"/>
        </w:rPr>
        <w:t>q</w:t>
      </w:r>
      <w:r>
        <w:rPr>
          <w:rFonts w:cs="Rotis Semi Serif Std" w:ascii="Verdana" w:hAnsi="Verdana"/>
          <w:bCs/>
          <w:color w:val="000000"/>
          <w:sz w:val="20"/>
          <w:szCs w:val="20"/>
        </w:rPr>
        <w:t xml:space="preserve">ualità </w:t>
      </w:r>
      <w:r>
        <w:rPr>
          <w:rFonts w:cs="Rotis Semi Serif Std" w:ascii="Verdana" w:hAnsi="Verdana"/>
          <w:bCs/>
          <w:color w:val="000000"/>
          <w:sz w:val="20"/>
          <w:szCs w:val="20"/>
        </w:rPr>
        <w:t>c</w:t>
      </w:r>
      <w:r>
        <w:rPr>
          <w:rFonts w:cs="Rotis Semi Serif Std" w:ascii="Verdana" w:hAnsi="Verdana"/>
          <w:bCs/>
          <w:color w:val="000000"/>
          <w:sz w:val="20"/>
          <w:szCs w:val="20"/>
        </w:rPr>
        <w:t>arta ha affiancato Aticelca nello sviluppo del metodo di prova “</w:t>
      </w:r>
      <w:r>
        <w:rPr>
          <w:rFonts w:cs="Rotis Semi Serif Std" w:ascii="Verdana" w:hAnsi="Verdana"/>
          <w:b/>
          <w:bCs/>
          <w:color w:val="000000"/>
          <w:sz w:val="20"/>
          <w:szCs w:val="20"/>
        </w:rPr>
        <w:t>Aticelca 501/17</w:t>
      </w:r>
      <w:r>
        <w:rPr>
          <w:rFonts w:cs="Rotis Semi Serif Std" w:ascii="Verdana" w:hAnsi="Verdana"/>
          <w:bCs/>
          <w:color w:val="000000"/>
          <w:sz w:val="20"/>
          <w:szCs w:val="20"/>
        </w:rPr>
        <w:t xml:space="preserve">”, in grado di determinare il livello di </w:t>
      </w:r>
      <w:r>
        <w:rPr>
          <w:rFonts w:cs="Rotis Semi Serif Std" w:ascii="Verdana" w:hAnsi="Verdana"/>
          <w:b w:val="false"/>
          <w:bCs w:val="false"/>
          <w:color w:val="000000"/>
          <w:sz w:val="20"/>
          <w:szCs w:val="20"/>
        </w:rPr>
        <w:t>riciclabilità</w:t>
      </w:r>
      <w:r>
        <w:rPr>
          <w:rFonts w:cs="Rotis Semi Serif Std" w:ascii="Verdana" w:hAnsi="Verdana"/>
          <w:bCs/>
          <w:color w:val="000000"/>
          <w:sz w:val="20"/>
          <w:szCs w:val="20"/>
        </w:rPr>
        <w:t xml:space="preserve"> di materiali e prodotti a prevalenza cellulosica. </w:t>
      </w:r>
      <w:r>
        <w:rPr>
          <w:rFonts w:cs="Rotis Semi Serif Std" w:ascii="Verdana" w:hAnsi="Verdana"/>
          <w:bCs/>
          <w:color w:val="000000"/>
          <w:sz w:val="20"/>
          <w:szCs w:val="20"/>
        </w:rPr>
        <w:t>Il Cqc</w:t>
      </w:r>
      <w:r>
        <w:rPr>
          <w:rFonts w:cs="Rotis Semi Serif Std" w:ascii="Verdana" w:hAnsi="Verdana"/>
          <w:bCs/>
          <w:color w:val="000000"/>
          <w:sz w:val="20"/>
          <w:szCs w:val="20"/>
        </w:rPr>
        <w:t xml:space="preserve"> è stato pertanto riconosciuto come </w:t>
      </w:r>
      <w:r>
        <w:rPr>
          <w:rFonts w:cs="Rotis Semi Serif Std" w:ascii="Verdana" w:hAnsi="Verdana"/>
          <w:bCs/>
          <w:color w:val="000000"/>
          <w:sz w:val="20"/>
          <w:szCs w:val="20"/>
        </w:rPr>
        <w:t>l</w:t>
      </w:r>
      <w:r>
        <w:rPr>
          <w:rFonts w:cs="Rotis Semi Serif Std" w:ascii="Verdana" w:hAnsi="Verdana"/>
          <w:bCs/>
          <w:color w:val="000000"/>
          <w:sz w:val="20"/>
          <w:szCs w:val="20"/>
        </w:rPr>
        <w:t>aboratorio qualificato per il rilascio di resoconti di prova ai fini del</w:t>
      </w:r>
      <w:r>
        <w:rPr>
          <w:rFonts w:cs="Rotis Semi Serif Std" w:ascii="Verdana" w:hAnsi="Verdana"/>
          <w:bCs/>
          <w:color w:val="000000"/>
          <w:sz w:val="20"/>
          <w:szCs w:val="20"/>
        </w:rPr>
        <w:t>l’utilizzo della dicitura</w:t>
      </w:r>
      <w:bookmarkEnd w:id="0"/>
      <w:r>
        <w:rPr>
          <w:rFonts w:cs="Rotis Semi Serif Std" w:ascii="Verdana" w:hAnsi="Verdana"/>
          <w:bCs/>
          <w:color w:val="000000"/>
          <w:sz w:val="20"/>
          <w:szCs w:val="20"/>
        </w:rPr>
        <w:t xml:space="preserve"> "Riciclabile con la carta - Aticelca® 501". 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8" w:top="1417" w:footer="1134" w:bottom="328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swiss"/>
    <w:pitch w:val="variable"/>
  </w:font>
  <w:font w:name="Verdana">
    <w:charset w:val="01"/>
    <w:family w:val="swiss"/>
    <w:pitch w:val="variable"/>
  </w:font>
  <w:font w:name="Calibri Light">
    <w:charset w:val="00"/>
    <w:family w:val="swiss"/>
    <w:pitch w:val="variable"/>
  </w:font>
  <w:font w:name="Verdana">
    <w:charset w:val="00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essunaspaziatura"/>
      <w:rPr>
        <w:rFonts w:ascii="Verdana" w:hAnsi="Verdana" w:cs="Verdana"/>
        <w:b/>
        <w:b/>
        <w:sz w:val="16"/>
        <w:szCs w:val="16"/>
      </w:rPr>
    </w:pPr>
    <w:r>
      <w:rPr>
        <w:rFonts w:cs="Verdana" w:ascii="Verdana" w:hAnsi="Verdana"/>
        <w:b/>
        <w:sz w:val="16"/>
        <w:szCs w:val="16"/>
      </w:rPr>
      <w:t>Ufficio stampa</w:t>
    </w:r>
  </w:p>
  <w:p>
    <w:pPr>
      <w:pStyle w:val="Nessunaspaziatura"/>
      <w:rPr>
        <w:rFonts w:ascii="Verdana" w:hAnsi="Verdana" w:cs="Verdana"/>
        <w:b/>
        <w:b/>
        <w:sz w:val="16"/>
        <w:szCs w:val="16"/>
      </w:rPr>
    </w:pPr>
    <w:r>
      <w:rPr>
        <w:rFonts w:cs="Verdana" w:ascii="Verdana" w:hAnsi="Verdana"/>
        <w:b/>
        <w:sz w:val="16"/>
        <w:szCs w:val="16"/>
      </w:rPr>
      <w:drawing>
        <wp:inline distT="0" distB="0" distL="0" distR="0">
          <wp:extent cx="782320" cy="568325"/>
          <wp:effectExtent l="0" t="0" r="0" b="0"/>
          <wp:docPr id="2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essunaspaziatura"/>
      <w:rPr>
        <w:rFonts w:ascii="Verdana" w:hAnsi="Verdana" w:cs="Verdana"/>
        <w:sz w:val="16"/>
        <w:szCs w:val="16"/>
      </w:rPr>
    </w:pPr>
    <w:r>
      <w:rPr>
        <w:rFonts w:cs="Verdana" w:ascii="Verdana" w:hAnsi="Verdana"/>
        <w:sz w:val="16"/>
        <w:szCs w:val="16"/>
      </w:rPr>
      <w:t>Polo Tecnologico Lucchese</w:t>
    </w:r>
  </w:p>
  <w:p>
    <w:pPr>
      <w:pStyle w:val="Nessunaspaziatura"/>
      <w:rPr>
        <w:rFonts w:ascii="Verdana" w:hAnsi="Verdana" w:cs="Verdana"/>
        <w:sz w:val="16"/>
        <w:szCs w:val="16"/>
      </w:rPr>
    </w:pPr>
    <w:r>
      <w:rPr>
        <w:rFonts w:cs="Verdana" w:ascii="Verdana" w:hAnsi="Verdana"/>
        <w:sz w:val="16"/>
        <w:szCs w:val="16"/>
      </w:rPr>
      <w:t>0583.1553512</w:t>
    </w:r>
  </w:p>
  <w:p>
    <w:pPr>
      <w:pStyle w:val="Nessunaspaziatura"/>
      <w:tabs>
        <w:tab w:val="left" w:pos="560" w:leader="none"/>
        <w:tab w:val="left" w:pos="1120" w:leader="none"/>
        <w:tab w:val="left" w:pos="1680" w:leader="none"/>
        <w:tab w:val="left" w:pos="2240" w:leader="none"/>
        <w:tab w:val="left" w:pos="2800" w:leader="none"/>
        <w:tab w:val="left" w:pos="3360" w:leader="none"/>
        <w:tab w:val="left" w:pos="3920" w:leader="none"/>
        <w:tab w:val="left" w:pos="4480" w:leader="none"/>
        <w:tab w:val="left" w:pos="5040" w:leader="none"/>
        <w:tab w:val="left" w:pos="5600" w:leader="none"/>
        <w:tab w:val="left" w:pos="6160" w:leader="none"/>
        <w:tab w:val="left" w:pos="6720" w:leader="none"/>
      </w:tabs>
      <w:autoSpaceDE w:val="false"/>
      <w:jc w:val="both"/>
      <w:rPr/>
    </w:pPr>
    <w:hyperlink r:id="rId2">
      <w:r>
        <w:rPr>
          <w:rStyle w:val="CollegamentoInternet"/>
          <w:rFonts w:cs="Verdana" w:ascii="Verdana" w:hAnsi="Verdana"/>
          <w:sz w:val="16"/>
          <w:szCs w:val="16"/>
        </w:rPr>
        <w:t>www.clipcomunicare.it</w:t>
      </w:r>
    </w:hyperlink>
    <w:r>
      <w:rPr>
        <w:rFonts w:eastAsia="Helvetica;Arial" w:cs="Verdana" w:ascii="Verdana" w:hAnsi="Verdana"/>
        <w:color w:val="000000"/>
        <w:sz w:val="16"/>
        <w:szCs w:val="16"/>
      </w:rPr>
      <w:t xml:space="preserve"> </w:t>
    </w:r>
  </w:p>
  <w:p>
    <w:pPr>
      <w:pStyle w:val="Nessunaspaziatura"/>
      <w:spacing w:lineRule="atLeast" w:line="100"/>
      <w:jc w:val="both"/>
      <w:rPr/>
    </w:pPr>
    <w:hyperlink r:id="rId3">
      <w:r>
        <w:rPr>
          <w:rStyle w:val="CollegamentoInternet"/>
          <w:rFonts w:cs="Verdana" w:ascii="Verdana" w:hAnsi="Verdana"/>
          <w:sz w:val="16"/>
          <w:szCs w:val="16"/>
        </w:rPr>
        <w:t>www.clipcomunicare.it</w:t>
      </w:r>
    </w:hyperlink>
    <w:r>
      <w:rPr>
        <w:rFonts w:cs="Verdana" w:ascii="Verdana" w:hAnsi="Verdana"/>
        <w:color w:val="000000"/>
        <w:sz w:val="16"/>
        <w:szCs w:val="16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Intestazione"/>
      <w:jc w:val="center"/>
      <w:rPr/>
    </w:pPr>
    <w:r>
      <w:rPr/>
      <w:t xml:space="preserve">                                                          </w:t>
    </w:r>
  </w:p>
  <w:p>
    <w:pPr>
      <w:pStyle w:val="Intestazione"/>
      <w:jc w:val="center"/>
      <w:rPr/>
    </w:pPr>
    <w:r>
      <w:rPr/>
    </w:r>
  </w:p>
  <w:p>
    <w:pPr>
      <w:pStyle w:val="Intestazione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7c5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paragraph" w:styleId="Titolo1">
    <w:name w:val="Heading 1"/>
    <w:basedOn w:val="Titolo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semiHidden/>
    <w:unhideWhenUsed/>
    <w:rsid w:val="00ac2ff3"/>
    <w:rPr>
      <w:color w:val="0000FF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c2ff3"/>
    <w:rPr/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ac2ff3"/>
    <w:rPr/>
  </w:style>
  <w:style w:type="character" w:styleId="Enfasi">
    <w:name w:val="Enfasi"/>
    <w:qFormat/>
    <w:rPr>
      <w:i/>
      <w:iCs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eb7dc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Intestazione">
    <w:name w:val="Header"/>
    <w:basedOn w:val="Normal"/>
    <w:link w:val="IntestazioneCarattere"/>
    <w:uiPriority w:val="99"/>
    <w:unhideWhenUsed/>
    <w:rsid w:val="00ac2ff3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ac2ff3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Standard">
    <w:name w:val="Standard"/>
    <w:qFormat/>
    <w:pPr>
      <w:widowControl/>
      <w:suppressAutoHyphens w:val="true"/>
      <w:spacing w:lineRule="auto" w:line="276" w:before="0" w:after="200"/>
      <w:textAlignment w:val="baseline"/>
    </w:pPr>
    <w:rPr>
      <w:rFonts w:ascii="Calibri" w:hAnsi="Calibri" w:eastAsia="SimSun;宋体" w:cs="Tahoma" w:asciiTheme="minorHAnsi" w:hAnsiTheme="minorHAnsi"/>
      <w:color w:val="auto"/>
      <w:sz w:val="22"/>
      <w:szCs w:val="22"/>
      <w:lang w:val="it-IT" w:bidi="ar-SA" w:eastAsia="en-US"/>
    </w:rPr>
  </w:style>
  <w:style w:type="paragraph" w:styleId="Paragrafoelenco">
    <w:name w:val="Paragrafo elenco"/>
    <w:basedOn w:val="Normal"/>
    <w:qFormat/>
    <w:pPr>
      <w:ind w:left="720" w:right="0" w:hanging="0"/>
    </w:pPr>
    <w:rPr>
      <w:rFonts w:ascii="Calibri" w:hAnsi="Calibri" w:eastAsia="Calibri" w:cs="Calibri"/>
      <w:sz w:val="22"/>
      <w:szCs w:val="22"/>
    </w:rPr>
  </w:style>
  <w:style w:type="paragraph" w:styleId="Nessunaspaziatura">
    <w:name w:val="Nessuna spaziatura"/>
    <w:qFormat/>
    <w:pPr>
      <w:widowControl/>
      <w:suppressAutoHyphens w:val="true"/>
    </w:pPr>
    <w:rPr>
      <w:rFonts w:ascii="Times New Roman" w:hAnsi="Times New Roman" w:eastAsia="Times New Roman" w:cs="Times New Roman"/>
      <w:color w:val="auto"/>
      <w:sz w:val="20"/>
      <w:szCs w:val="20"/>
      <w:lang w:val="it-IT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clipcomunicare.it/" TargetMode="External"/><Relationship Id="rId3" Type="http://schemas.openxmlformats.org/officeDocument/2006/relationships/hyperlink" Target="http://www.clipcomunicare.it/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LibreOffice/5.2.0.4$Windows_X86_64 LibreOffice_project/066b007f5ebcc236395c7d282ba488bca6720265</Application>
  <Pages>1</Pages>
  <Words>431</Words>
  <Characters>2610</Characters>
  <CharactersWithSpaces>3113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2018-03-01T10:56:00Z</dcterms:created>
  <dc:creator>Daniele Di Stefano</dc:creator>
  <dc:description/>
  <dc:language>it-IT</dc:language>
  <cp:lastModifiedBy/>
  <dcterms:modified xsi:type="dcterms:W3CDTF">2018-10-06T14:19:28Z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