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2552065</wp:posOffset>
            </wp:positionH>
            <wp:positionV relativeFrom="page">
              <wp:posOffset>324485</wp:posOffset>
            </wp:positionV>
            <wp:extent cx="2456180" cy="77216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</w:t>
      </w:r>
      <w:bookmarkStart w:id="0" w:name="__DdeLink__52_603674189"/>
      <w:r>
        <w:rPr>
          <w:rFonts w:ascii="Verdana" w:hAnsi="Verdana"/>
          <w:color w:val="000000"/>
          <w:sz w:val="20"/>
          <w:szCs w:val="20"/>
        </w:rPr>
        <w:t>Comunicato stampa</w:t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p>
      <w:pPr>
        <w:pStyle w:val="Standard"/>
        <w:spacing w:lineRule="exact" w:line="360" w:before="60" w:after="60"/>
        <w:jc w:val="center"/>
        <w:rPr>
          <w:rFonts w:ascii="Verdana" w:hAnsi="Verdana" w:cs="Rotis Semi Serif Std"/>
          <w:b/>
          <w:b/>
          <w:bCs/>
          <w:sz w:val="20"/>
          <w:szCs w:val="20"/>
        </w:rPr>
      </w:pPr>
      <w:r>
        <w:rPr>
          <w:rFonts w:cs="Rotis Semi Serif Std" w:ascii="Verdana" w:hAnsi="Verdana"/>
          <w:b/>
          <w:bCs/>
          <w:sz w:val="20"/>
          <w:szCs w:val="20"/>
        </w:rPr>
        <w:t xml:space="preserve">LUCENSE </w:t>
      </w:r>
      <w:r>
        <w:rPr>
          <w:rFonts w:cs="Rotis Semi Serif Std" w:ascii="Verdana" w:hAnsi="Verdana"/>
          <w:b/>
          <w:bCs/>
          <w:sz w:val="20"/>
          <w:szCs w:val="20"/>
        </w:rPr>
        <w:t>E IL CENTRO QUALIT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À CARTA PER I 25 ANNI DI MIAC</w:t>
      </w:r>
    </w:p>
    <w:p>
      <w:pPr>
        <w:pStyle w:val="Standard"/>
        <w:bidi w:val="0"/>
        <w:spacing w:lineRule="auto" w:line="240" w:before="0" w:after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Rotis Semi Serif Std" w:ascii="Verdana" w:hAnsi="Verdana"/>
          <w:bCs/>
          <w:i/>
          <w:iCs/>
          <w:color w:val="000000"/>
          <w:sz w:val="20"/>
          <w:szCs w:val="20"/>
        </w:rPr>
        <w:t>Lucca, 6 ottobre 2018 –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Esperienza e conoscenza per la qualità produttiva delle industrie cartarie: ecco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Lucense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, che anche quest’anno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partecipa al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 xml:space="preserve">Miac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(stand 124),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celebrando così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i 25 anni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della manifestazione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in programma a Lucca dal 10 al 12 ottobre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. Un'occasione per presentare in un contesto internazionale le proprie competenze, le aree di intervento e i servizi qualificati offerti a supporto dei processi di innovazione e di crescita delle imprese.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E partecipa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con quello che può essere definito un fiore all’occhiello del territorio, il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Centro qualità carta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(Cqc): un servizio ulteriormente potenziato </w:t>
      </w:r>
      <w:r>
        <w:rPr>
          <w:rFonts w:cs="Rotis Semi Serif Std" w:ascii="Verdana" w:hAnsi="Verdana"/>
          <w:color w:val="000000"/>
          <w:sz w:val="20"/>
          <w:szCs w:val="20"/>
        </w:rPr>
        <w:t xml:space="preserve">grazie agli investimenti che hanno consentito di dotare il </w:t>
      </w:r>
      <w:r>
        <w:rPr>
          <w:rFonts w:cs="Rotis Semi Serif Std" w:ascii="Verdana" w:hAnsi="Verdana"/>
          <w:color w:val="000000"/>
          <w:sz w:val="20"/>
          <w:szCs w:val="20"/>
        </w:rPr>
        <w:t>l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aboratorio di nuovi strumenti di misura e apparecchiature di prova. 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Rotis Semi Serif Std" w:ascii="Verdana" w:hAnsi="Verdana"/>
          <w:bCs/>
          <w:color w:val="000000"/>
          <w:sz w:val="20"/>
          <w:szCs w:val="20"/>
        </w:rPr>
        <w:t>R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ecentemente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sono state infatti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create due divisioni,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TissueLAB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e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 xml:space="preserve">FiberLAB,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che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>permettono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 al Cqc di affiancare le aziende meccaniche e del tissue per ottimizzare l’uso delle materie prime, migliorare le prestazioni dei prodotti, incrementarne la riciclabilità, soprattutto in un’ottica di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maggiore sostenibilità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.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>Quest’ultimo, non a caso,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rappresenta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uno degli ambiti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in cui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>Lucense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 xml:space="preserve">opera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principalmente: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un ambito che sta spingendo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le aziende a produrre carte che a parità di prestazioni richiedono un minore utilizzo di materia prima e di energia. Una sfida che coinvolge l'intera filiera, dai costruttori di macchine ai produttori e trasformatori di carta, e richiede crescenti investimenti in ricerca, innovazione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e sviluppo: tre poli centrali nell’attività di Lucense, per i quali l’azienda riesce ad attrarre ogni anno sul territorio, grazie alla partecipazione e all’aggiudicazione di importanti bandi europei e nazionali, cospicui finanziamenti. 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color w:val="000000"/>
          <w:sz w:val="20"/>
        </w:rPr>
      </w:pP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Strettamente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collegato al tema della sostenibilità c’è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poi 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quello della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riciclabilità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e della promozione dell’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economia circolare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quale modello di sviluppo possibile. Dal 2017 Lucense gestisce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Rilab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(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l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aboratorio di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r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icerca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a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pplicata e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s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perimentazione sui materiali e l’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e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conomia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c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ircolare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)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, con sede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al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Parco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s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cientifico di Capannori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,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 in collaborazione con LMPE (spin-off del Consorzio </w:t>
      </w:r>
      <w:r>
        <w:rPr>
          <w:rFonts w:eastAsia="Times New Roman" w:cs="Rotis Semi Serif Std" w:ascii="Verdana" w:hAnsi="Verdana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Interuniversitario Nazionale per la Scienza e Tecnologia dei Materiali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) e la Scuola Normale Superiore di Pisa. L’attività di Rilab, 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>legata a quella del</w:t>
      </w:r>
      <w:r>
        <w:rPr>
          <w:rFonts w:eastAsia="Times New Roman" w:cs="Rotis Semi Serif Std" w:ascii="Verdana" w:hAnsi="Verdana"/>
          <w:bCs/>
          <w:color w:val="000000"/>
          <w:sz w:val="20"/>
          <w:szCs w:val="20"/>
        </w:rPr>
        <w:t xml:space="preserve"> Centro Qualità Carta, è focalizzata sui materiali innovativi per imballaggi accoppiati sostenibili con caratteristiche di riciclabilità e biodegradabilità.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Chiude il cerchio il capitolo della 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certificazione</w:t>
      </w:r>
      <w:r>
        <w:rPr>
          <w:rFonts w:cs="Rotis Semi Serif Std" w:ascii="Verdana" w:hAnsi="Verdana"/>
          <w:bCs/>
          <w:color w:val="000000"/>
          <w:sz w:val="20"/>
          <w:szCs w:val="20"/>
        </w:rPr>
        <w:t>: s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empre in tema di sostenibilità,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infatti,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il Centro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q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ualità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c</w:t>
      </w:r>
      <w:r>
        <w:rPr>
          <w:rFonts w:cs="Rotis Semi Serif Std" w:ascii="Verdana" w:hAnsi="Verdana"/>
          <w:bCs/>
          <w:color w:val="000000"/>
          <w:sz w:val="20"/>
          <w:szCs w:val="20"/>
        </w:rPr>
        <w:t>arta ha affiancato Aticelca nello sviluppo del metodo di prova “</w:t>
      </w:r>
      <w:r>
        <w:rPr>
          <w:rFonts w:cs="Rotis Semi Serif Std" w:ascii="Verdana" w:hAnsi="Verdana"/>
          <w:b/>
          <w:bCs/>
          <w:color w:val="000000"/>
          <w:sz w:val="20"/>
          <w:szCs w:val="20"/>
        </w:rPr>
        <w:t>Aticelca 501/17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”, in grado di determinare il livello di </w:t>
      </w:r>
      <w:r>
        <w:rPr>
          <w:rFonts w:cs="Rotis Semi Serif Std" w:ascii="Verdana" w:hAnsi="Verdana"/>
          <w:b w:val="false"/>
          <w:bCs w:val="false"/>
          <w:color w:val="000000"/>
          <w:sz w:val="20"/>
          <w:szCs w:val="20"/>
        </w:rPr>
        <w:t>riciclabilità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di materiali e prodotti a prevalenza cellulosica.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Il Cqc</w:t>
      </w:r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è stato pertanto riconosciuto come </w:t>
      </w:r>
      <w:r>
        <w:rPr>
          <w:rFonts w:cs="Rotis Semi Serif Std" w:ascii="Verdana" w:hAnsi="Verdana"/>
          <w:bCs/>
          <w:color w:val="000000"/>
          <w:sz w:val="20"/>
          <w:szCs w:val="20"/>
        </w:rPr>
        <w:t>l</w:t>
      </w:r>
      <w:r>
        <w:rPr>
          <w:rFonts w:cs="Rotis Semi Serif Std" w:ascii="Verdana" w:hAnsi="Verdana"/>
          <w:bCs/>
          <w:color w:val="000000"/>
          <w:sz w:val="20"/>
          <w:szCs w:val="20"/>
        </w:rPr>
        <w:t>aboratorio qualificato per il rilascio di resoconti di prova ai fini del</w:t>
      </w:r>
      <w:r>
        <w:rPr>
          <w:rFonts w:cs="Rotis Semi Serif Std" w:ascii="Verdana" w:hAnsi="Verdana"/>
          <w:bCs/>
          <w:color w:val="000000"/>
          <w:sz w:val="20"/>
          <w:szCs w:val="20"/>
        </w:rPr>
        <w:t>l’utilizzo della dicitura</w:t>
      </w:r>
      <w:bookmarkEnd w:id="0"/>
      <w:r>
        <w:rPr>
          <w:rFonts w:cs="Rotis Semi Serif Std" w:ascii="Verdana" w:hAnsi="Verdana"/>
          <w:bCs/>
          <w:color w:val="000000"/>
          <w:sz w:val="20"/>
          <w:szCs w:val="20"/>
        </w:rPr>
        <w:t xml:space="preserve"> "Riciclabile con la carta - Aticelca® 501".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1134" w:bottom="328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Verdana">
    <w:charset w:val="01"/>
    <w:family w:val="swiss"/>
    <w:pitch w:val="variable"/>
  </w:font>
  <w:font w:name="Calibri Light">
    <w:charset w:val="00"/>
    <w:family w:val="swiss"/>
    <w:pitch w:val="variable"/>
  </w:font>
  <w:font w:name="Verdan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essunaspaziatura"/>
      <w:rPr>
        <w:rFonts w:ascii="Verdana" w:hAnsi="Verdana" w:cs="Verdana"/>
        <w:b/>
        <w:b/>
        <w:sz w:val="16"/>
        <w:szCs w:val="16"/>
      </w:rPr>
    </w:pPr>
    <w:r>
      <w:rPr>
        <w:rFonts w:cs="Verdana" w:ascii="Verdana" w:hAnsi="Verdana"/>
        <w:b/>
        <w:sz w:val="16"/>
        <w:szCs w:val="16"/>
      </w:rPr>
      <w:t>Ufficio stampa</w:t>
    </w:r>
  </w:p>
  <w:p>
    <w:pPr>
      <w:pStyle w:val="Nessunaspaziatura"/>
      <w:rPr>
        <w:rFonts w:ascii="Verdana" w:hAnsi="Verdana" w:cs="Verdana"/>
        <w:b/>
        <w:b/>
        <w:sz w:val="16"/>
        <w:szCs w:val="16"/>
      </w:rPr>
    </w:pPr>
    <w:r>
      <w:rPr>
        <w:rFonts w:cs="Verdana" w:ascii="Verdana" w:hAnsi="Verdana"/>
        <w:b/>
        <w:sz w:val="16"/>
        <w:szCs w:val="16"/>
      </w:rPr>
      <w:drawing>
        <wp:inline distT="0" distB="0" distL="0" distR="0">
          <wp:extent cx="782320" cy="56832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essunaspaziatura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Polo Tecnologico Lucchese</w:t>
    </w:r>
  </w:p>
  <w:p>
    <w:pPr>
      <w:pStyle w:val="Nessunaspaziatura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0583.1553512</w:t>
    </w:r>
  </w:p>
  <w:p>
    <w:pPr>
      <w:pStyle w:val="Nessunaspaziatura"/>
      <w:tabs>
        <w:tab w:val="left" w:pos="560" w:leader="none"/>
        <w:tab w:val="left" w:pos="1120" w:leader="none"/>
        <w:tab w:val="left" w:pos="1680" w:leader="none"/>
        <w:tab w:val="left" w:pos="2240" w:leader="none"/>
        <w:tab w:val="left" w:pos="2800" w:leader="none"/>
        <w:tab w:val="left" w:pos="3360" w:leader="none"/>
        <w:tab w:val="left" w:pos="3920" w:leader="none"/>
        <w:tab w:val="left" w:pos="4480" w:leader="none"/>
        <w:tab w:val="left" w:pos="5040" w:leader="none"/>
        <w:tab w:val="left" w:pos="5600" w:leader="none"/>
        <w:tab w:val="left" w:pos="6160" w:leader="none"/>
        <w:tab w:val="left" w:pos="6720" w:leader="none"/>
      </w:tabs>
      <w:autoSpaceDE w:val="false"/>
      <w:jc w:val="both"/>
      <w:rPr/>
    </w:pPr>
    <w:hyperlink r:id="rId2">
      <w:r>
        <w:rPr>
          <w:rStyle w:val="CollegamentoInternet"/>
          <w:rFonts w:cs="Verdana" w:ascii="Verdana" w:hAnsi="Verdana"/>
          <w:sz w:val="16"/>
          <w:szCs w:val="16"/>
        </w:rPr>
        <w:t>www.clipcomunicare.it</w:t>
      </w:r>
    </w:hyperlink>
    <w:r>
      <w:rPr>
        <w:rFonts w:eastAsia="Helvetica;Arial" w:cs="Verdana" w:ascii="Verdana" w:hAnsi="Verdana"/>
        <w:color w:val="000000"/>
        <w:sz w:val="16"/>
        <w:szCs w:val="16"/>
      </w:rPr>
      <w:t xml:space="preserve"> </w:t>
    </w:r>
  </w:p>
  <w:p>
    <w:pPr>
      <w:pStyle w:val="Nessunaspaziatura"/>
      <w:spacing w:lineRule="atLeast" w:line="100"/>
      <w:jc w:val="both"/>
      <w:rPr/>
    </w:pPr>
    <w:hyperlink r:id="rId3">
      <w:r>
        <w:rPr>
          <w:rStyle w:val="CollegamentoInternet"/>
          <w:rFonts w:cs="Verdana" w:ascii="Verdana" w:hAnsi="Verdana"/>
          <w:sz w:val="16"/>
          <w:szCs w:val="16"/>
        </w:rPr>
        <w:t>www.clipcomunicare.it</w:t>
      </w:r>
    </w:hyperlink>
    <w:r>
      <w:rPr>
        <w:rFonts w:cs="Verdana" w:ascii="Verdana" w:hAnsi="Verdana"/>
        <w:color w:val="000000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jc w:val="center"/>
      <w:rPr/>
    </w:pPr>
    <w:r>
      <w:rPr/>
      <w:t xml:space="preserve">                                                          </w:t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c5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ac2ff3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c2ff3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ac2ff3"/>
    <w:rPr/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b7d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ac2ff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ac2ff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spacing w:lineRule="auto" w:line="276" w:before="0" w:after="200"/>
      <w:textAlignment w:val="baseline"/>
    </w:pPr>
    <w:rPr>
      <w:rFonts w:ascii="Calibri" w:hAnsi="Calibri" w:eastAsia="SimSun;宋体" w:cs="Tahoma" w:asciiTheme="minorHAnsi" w:hAnsiTheme="minorHAnsi"/>
      <w:color w:val="auto"/>
      <w:sz w:val="22"/>
      <w:szCs w:val="22"/>
      <w:lang w:val="it-IT" w:bidi="ar-SA" w:eastAsia="en-US"/>
    </w:rPr>
  </w:style>
  <w:style w:type="paragraph" w:styleId="Paragrafoelenco">
    <w:name w:val="Paragrafo elenco"/>
    <w:basedOn w:val="Normal"/>
    <w:qFormat/>
    <w:pPr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Nessunaspaziatura">
    <w:name w:val="Nessuna spaziatura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lipcomunicare.it/" TargetMode="External"/><Relationship Id="rId3" Type="http://schemas.openxmlformats.org/officeDocument/2006/relationships/hyperlink" Target="http://www.clipcomunicare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LibreOffice/5.2.0.4$Windows_X86_64 LibreOffice_project/066b007f5ebcc236395c7d282ba488bca6720265</Application>
  <Pages>1</Pages>
  <Words>431</Words>
  <Characters>2610</Characters>
  <CharactersWithSpaces>3113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2018-03-01T10:56:00Z</dcterms:created>
  <dc:creator>Daniele Di Stefano</dc:creator>
  <dc:description/>
  <dc:language>it-IT</dc:language>
  <cp:lastModifiedBy/>
  <dcterms:modified xsi:type="dcterms:W3CDTF">2018-10-06T14:19:28Z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